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58" w:rsidRDefault="00731558" w:rsidP="00731558">
      <w:pPr>
        <w:pStyle w:val="Default"/>
      </w:pPr>
    </w:p>
    <w:p w:rsidR="00BB5157" w:rsidRDefault="00731558" w:rsidP="00731558">
      <w:pPr>
        <w:rPr>
          <w:b/>
          <w:bCs/>
          <w:i/>
          <w:iCs/>
          <w:sz w:val="23"/>
          <w:szCs w:val="23"/>
          <w:u w:val="single"/>
        </w:rPr>
      </w:pPr>
      <w:r>
        <w:t xml:space="preserve"> </w:t>
      </w:r>
      <w:r>
        <w:rPr>
          <w:b/>
          <w:bCs/>
          <w:i/>
          <w:iCs/>
          <w:sz w:val="23"/>
          <w:szCs w:val="23"/>
          <w:u w:val="single"/>
        </w:rPr>
        <w:t>Zoznam schválených žiadostí zo zasadnutia Komisie zo dňa 10. 10. 2019 a 11. 10. 2019:</w:t>
      </w:r>
    </w:p>
    <w:p w:rsidR="00B96478" w:rsidRDefault="00B96478" w:rsidP="00731558">
      <w:pPr>
        <w:rPr>
          <w:b/>
          <w:bCs/>
          <w:i/>
          <w:iCs/>
          <w:sz w:val="23"/>
          <w:szCs w:val="23"/>
          <w:u w:val="single"/>
        </w:rPr>
      </w:pPr>
    </w:p>
    <w:p w:rsidR="00B96478" w:rsidRDefault="00B96478" w:rsidP="00731558">
      <w:pPr>
        <w:rPr>
          <w:b/>
          <w:bCs/>
          <w:i/>
          <w:iCs/>
          <w:sz w:val="23"/>
          <w:szCs w:val="23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3260"/>
        <w:gridCol w:w="1696"/>
      </w:tblGrid>
      <w:tr w:rsidR="00731558" w:rsidTr="00731558">
        <w:tc>
          <w:tcPr>
            <w:tcW w:w="2265" w:type="dxa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"/>
            </w:tblGrid>
            <w:tr w:rsidR="00731558" w:rsidTr="00B96478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Žiadateľ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41" w:type="dxa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5"/>
            </w:tblGrid>
            <w:tr w:rsidR="00731558">
              <w:trPr>
                <w:trHeight w:val="300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Dátum zasadnutia Komisie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3260" w:type="dxa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5"/>
            </w:tblGrid>
            <w:tr w:rsidR="00731558" w:rsidTr="00B96478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Účel podpory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0"/>
            </w:tblGrid>
            <w:tr w:rsidR="00731558">
              <w:trPr>
                <w:trHeight w:val="159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Výška podpory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 w:rsidRPr="00731558">
              <w:rPr>
                <w:bCs/>
                <w:iCs/>
                <w:sz w:val="23"/>
                <w:szCs w:val="23"/>
              </w:rPr>
              <w:t>Promobay, s.r.o.</w:t>
            </w:r>
          </w:p>
        </w:tc>
        <w:tc>
          <w:tcPr>
            <w:tcW w:w="1841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4B6245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t>23 000 €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 w:rsidRPr="00731558">
              <w:rPr>
                <w:bCs/>
                <w:iCs/>
                <w:sz w:val="23"/>
                <w:szCs w:val="23"/>
              </w:rPr>
              <w:t>Passnod</w:t>
            </w:r>
            <w:r>
              <w:rPr>
                <w:bCs/>
                <w:iCs/>
                <w:sz w:val="23"/>
                <w:szCs w:val="23"/>
              </w:rPr>
              <w:t>,</w:t>
            </w:r>
            <w:r w:rsidRPr="00731558">
              <w:rPr>
                <w:bCs/>
                <w:iCs/>
                <w:sz w:val="23"/>
                <w:szCs w:val="23"/>
              </w:rPr>
              <w:t xml:space="preserve"> s.r.o.</w:t>
            </w:r>
          </w:p>
        </w:tc>
        <w:tc>
          <w:tcPr>
            <w:tcW w:w="1841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4B6245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t>24 500 €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proofErr w:type="spellStart"/>
            <w:r w:rsidRPr="00731558">
              <w:rPr>
                <w:bCs/>
                <w:iCs/>
                <w:sz w:val="23"/>
                <w:szCs w:val="23"/>
              </w:rPr>
              <w:t>We</w:t>
            </w:r>
            <w:proofErr w:type="spellEnd"/>
            <w:r w:rsidRPr="00731558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731558">
              <w:rPr>
                <w:bCs/>
                <w:iCs/>
                <w:sz w:val="23"/>
                <w:szCs w:val="23"/>
              </w:rPr>
              <w:t>Make</w:t>
            </w:r>
            <w:proofErr w:type="spellEnd"/>
            <w:r w:rsidRPr="00731558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731558">
              <w:rPr>
                <w:bCs/>
                <w:iCs/>
                <w:sz w:val="23"/>
                <w:szCs w:val="23"/>
              </w:rPr>
              <w:t>Games</w:t>
            </w:r>
            <w:proofErr w:type="spellEnd"/>
            <w:r>
              <w:rPr>
                <w:bCs/>
                <w:iCs/>
                <w:sz w:val="23"/>
                <w:szCs w:val="23"/>
              </w:rPr>
              <w:t>,</w:t>
            </w:r>
            <w:r w:rsidRPr="00731558">
              <w:rPr>
                <w:bCs/>
                <w:iCs/>
                <w:sz w:val="23"/>
                <w:szCs w:val="23"/>
              </w:rPr>
              <w:t xml:space="preserve"> s.r.o.</w:t>
            </w:r>
          </w:p>
        </w:tc>
        <w:tc>
          <w:tcPr>
            <w:tcW w:w="1841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4B6245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t>19 000 €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 w:rsidRPr="00731558">
              <w:rPr>
                <w:bCs/>
                <w:iCs/>
                <w:sz w:val="23"/>
                <w:szCs w:val="23"/>
              </w:rPr>
              <w:t xml:space="preserve">SEC </w:t>
            </w:r>
            <w:proofErr w:type="spellStart"/>
            <w:r w:rsidRPr="00731558">
              <w:rPr>
                <w:bCs/>
                <w:iCs/>
                <w:sz w:val="23"/>
                <w:szCs w:val="23"/>
              </w:rPr>
              <w:t>Traiding</w:t>
            </w:r>
            <w:proofErr w:type="spellEnd"/>
            <w:r>
              <w:rPr>
                <w:bCs/>
                <w:iCs/>
                <w:sz w:val="23"/>
                <w:szCs w:val="23"/>
              </w:rPr>
              <w:t>,</w:t>
            </w:r>
            <w:r w:rsidRPr="00731558">
              <w:rPr>
                <w:bCs/>
                <w:iCs/>
                <w:sz w:val="23"/>
                <w:szCs w:val="23"/>
              </w:rPr>
              <w:t xml:space="preserve"> s.r.o.</w:t>
            </w:r>
          </w:p>
        </w:tc>
        <w:tc>
          <w:tcPr>
            <w:tcW w:w="1841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4B6245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 w:rsidRPr="004B6245">
              <w:rPr>
                <w:bCs/>
                <w:iCs/>
                <w:sz w:val="23"/>
                <w:szCs w:val="23"/>
              </w:rPr>
              <w:t>23</w:t>
            </w:r>
            <w:r>
              <w:rPr>
                <w:bCs/>
                <w:iCs/>
                <w:sz w:val="23"/>
                <w:szCs w:val="23"/>
              </w:rPr>
              <w:t> </w:t>
            </w:r>
            <w:r w:rsidRPr="004B6245">
              <w:rPr>
                <w:bCs/>
                <w:iCs/>
                <w:sz w:val="23"/>
                <w:szCs w:val="23"/>
              </w:rPr>
              <w:t>500</w:t>
            </w:r>
            <w:r>
              <w:rPr>
                <w:bCs/>
                <w:iCs/>
                <w:sz w:val="23"/>
                <w:szCs w:val="23"/>
              </w:rPr>
              <w:t xml:space="preserve">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proofErr w:type="spellStart"/>
            <w:r w:rsidRPr="00731558">
              <w:rPr>
                <w:bCs/>
                <w:iCs/>
                <w:sz w:val="23"/>
                <w:szCs w:val="23"/>
              </w:rPr>
              <w:t>Pivovár</w:t>
            </w:r>
            <w:proofErr w:type="spellEnd"/>
            <w:r w:rsidRPr="00731558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731558">
              <w:rPr>
                <w:bCs/>
                <w:iCs/>
                <w:sz w:val="23"/>
                <w:szCs w:val="23"/>
              </w:rPr>
              <w:t>Trogár</w:t>
            </w:r>
            <w:proofErr w:type="spellEnd"/>
            <w:r>
              <w:rPr>
                <w:bCs/>
                <w:iCs/>
                <w:sz w:val="23"/>
                <w:szCs w:val="23"/>
              </w:rPr>
              <w:t>,</w:t>
            </w:r>
            <w:r w:rsidRPr="00731558">
              <w:rPr>
                <w:bCs/>
                <w:iCs/>
                <w:sz w:val="23"/>
                <w:szCs w:val="23"/>
              </w:rPr>
              <w:t xml:space="preserve"> s.r.o.</w:t>
            </w:r>
          </w:p>
        </w:tc>
        <w:tc>
          <w:tcPr>
            <w:tcW w:w="1841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4B6245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 w:rsidRPr="004B6245">
              <w:rPr>
                <w:bCs/>
                <w:iCs/>
                <w:sz w:val="23"/>
                <w:szCs w:val="23"/>
              </w:rPr>
              <w:t>25 000 €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proofErr w:type="spellStart"/>
            <w:r w:rsidRPr="00731558">
              <w:rPr>
                <w:bCs/>
                <w:iCs/>
                <w:sz w:val="23"/>
                <w:szCs w:val="23"/>
              </w:rPr>
              <w:t>Event</w:t>
            </w:r>
            <w:proofErr w:type="spellEnd"/>
            <w:r w:rsidRPr="00731558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731558">
              <w:rPr>
                <w:bCs/>
                <w:iCs/>
                <w:sz w:val="23"/>
                <w:szCs w:val="23"/>
              </w:rPr>
              <w:t>Advisor</w:t>
            </w:r>
            <w:proofErr w:type="spellEnd"/>
            <w:r>
              <w:rPr>
                <w:bCs/>
                <w:iCs/>
                <w:sz w:val="23"/>
                <w:szCs w:val="23"/>
              </w:rPr>
              <w:t>,</w:t>
            </w:r>
            <w:r w:rsidRPr="00731558">
              <w:rPr>
                <w:bCs/>
                <w:iCs/>
                <w:sz w:val="23"/>
                <w:szCs w:val="23"/>
              </w:rPr>
              <w:t xml:space="preserve"> s.r.o.</w:t>
            </w:r>
          </w:p>
        </w:tc>
        <w:tc>
          <w:tcPr>
            <w:tcW w:w="1841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4B6245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t>21 000 €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proofErr w:type="spellStart"/>
            <w:r w:rsidRPr="00731558">
              <w:rPr>
                <w:bCs/>
                <w:iCs/>
                <w:sz w:val="23"/>
                <w:szCs w:val="23"/>
              </w:rPr>
              <w:t>Biotron</w:t>
            </w:r>
            <w:proofErr w:type="spellEnd"/>
            <w:r w:rsidRPr="00731558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731558">
              <w:rPr>
                <w:bCs/>
                <w:iCs/>
                <w:sz w:val="23"/>
                <w:szCs w:val="23"/>
              </w:rPr>
              <w:t>Labs</w:t>
            </w:r>
            <w:proofErr w:type="spellEnd"/>
            <w:r>
              <w:rPr>
                <w:bCs/>
                <w:iCs/>
                <w:sz w:val="23"/>
                <w:szCs w:val="23"/>
              </w:rPr>
              <w:t>,</w:t>
            </w:r>
            <w:r w:rsidRPr="00731558">
              <w:rPr>
                <w:bCs/>
                <w:iCs/>
                <w:sz w:val="23"/>
                <w:szCs w:val="23"/>
              </w:rPr>
              <w:t xml:space="preserve"> s.r.o.</w:t>
            </w:r>
          </w:p>
        </w:tc>
        <w:tc>
          <w:tcPr>
            <w:tcW w:w="1841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4B6245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 w:rsidRPr="004B6245">
              <w:rPr>
                <w:bCs/>
                <w:iCs/>
                <w:sz w:val="23"/>
                <w:szCs w:val="23"/>
              </w:rPr>
              <w:t>25 000 €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 w:rsidRPr="00731558">
              <w:rPr>
                <w:bCs/>
                <w:iCs/>
                <w:sz w:val="23"/>
                <w:szCs w:val="23"/>
              </w:rPr>
              <w:t>DYNASTION CLINIC</w:t>
            </w:r>
            <w:r>
              <w:rPr>
                <w:bCs/>
                <w:iCs/>
                <w:sz w:val="23"/>
                <w:szCs w:val="23"/>
              </w:rPr>
              <w:t>,</w:t>
            </w:r>
            <w:r w:rsidRPr="00731558">
              <w:rPr>
                <w:bCs/>
                <w:iCs/>
                <w:sz w:val="23"/>
                <w:szCs w:val="23"/>
              </w:rPr>
              <w:t xml:space="preserve"> s.r.o.</w:t>
            </w:r>
          </w:p>
        </w:tc>
        <w:tc>
          <w:tcPr>
            <w:tcW w:w="1841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4B6245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 w:rsidRPr="004B6245">
              <w:rPr>
                <w:bCs/>
                <w:iCs/>
                <w:sz w:val="23"/>
                <w:szCs w:val="23"/>
              </w:rPr>
              <w:t>25</w:t>
            </w:r>
            <w:r>
              <w:rPr>
                <w:bCs/>
                <w:iCs/>
                <w:sz w:val="23"/>
                <w:szCs w:val="23"/>
              </w:rPr>
              <w:t> </w:t>
            </w:r>
            <w:r w:rsidRPr="004B6245">
              <w:rPr>
                <w:bCs/>
                <w:iCs/>
                <w:sz w:val="23"/>
                <w:szCs w:val="23"/>
              </w:rPr>
              <w:t>000</w:t>
            </w:r>
            <w:r>
              <w:rPr>
                <w:bCs/>
                <w:iCs/>
                <w:sz w:val="23"/>
                <w:szCs w:val="23"/>
              </w:rPr>
              <w:t xml:space="preserve">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MUDr. Martin Boháč, s.r.o.</w:t>
            </w:r>
          </w:p>
        </w:tc>
        <w:tc>
          <w:tcPr>
            <w:tcW w:w="1841" w:type="dxa"/>
            <w:vAlign w:val="center"/>
          </w:tcPr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4B6245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 w:rsidRPr="004B6245">
              <w:rPr>
                <w:bCs/>
                <w:iCs/>
                <w:sz w:val="23"/>
                <w:szCs w:val="23"/>
              </w:rPr>
              <w:t>25 000 €</w:t>
            </w:r>
          </w:p>
        </w:tc>
      </w:tr>
    </w:tbl>
    <w:p w:rsidR="00731558" w:rsidRDefault="00731558" w:rsidP="00731558">
      <w:pPr>
        <w:pStyle w:val="Default"/>
      </w:pPr>
    </w:p>
    <w:p w:rsidR="00B96478" w:rsidRDefault="00731558" w:rsidP="00731558">
      <w:r>
        <w:t xml:space="preserve"> </w:t>
      </w:r>
    </w:p>
    <w:p w:rsidR="00B96478" w:rsidRDefault="00B96478" w:rsidP="00731558"/>
    <w:p w:rsidR="00B96478" w:rsidRDefault="00B96478" w:rsidP="00731558"/>
    <w:p w:rsidR="00B96478" w:rsidRDefault="00B96478" w:rsidP="00731558"/>
    <w:p w:rsidR="00B96478" w:rsidRDefault="00B96478" w:rsidP="00731558"/>
    <w:p w:rsidR="00B96478" w:rsidRDefault="00B96478" w:rsidP="00731558"/>
    <w:p w:rsidR="00B96478" w:rsidRDefault="00B96478" w:rsidP="00731558"/>
    <w:p w:rsidR="00731558" w:rsidRDefault="00731558" w:rsidP="00731558">
      <w:pPr>
        <w:rPr>
          <w:b/>
          <w:bCs/>
          <w:i/>
          <w:i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  <w:u w:val="single"/>
        </w:rPr>
        <w:lastRenderedPageBreak/>
        <w:t>Zoznam neschválených žiadostí zo zasadnutia Komisie zo dňa 10. 10. 2019 a 11. 10. 2019:</w:t>
      </w:r>
    </w:p>
    <w:p w:rsidR="00B96478" w:rsidRDefault="00B96478" w:rsidP="00731558">
      <w:pPr>
        <w:rPr>
          <w:b/>
          <w:bCs/>
          <w:i/>
          <w:iCs/>
          <w:sz w:val="23"/>
          <w:szCs w:val="23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B6245" w:rsidTr="004B6245">
        <w:tc>
          <w:tcPr>
            <w:tcW w:w="3020" w:type="dxa"/>
          </w:tcPr>
          <w:p w:rsidR="004B6245" w:rsidRDefault="004B6245" w:rsidP="004B6245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"/>
            </w:tblGrid>
            <w:tr w:rsidR="004B6245" w:rsidTr="00B96478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4B6245" w:rsidRDefault="004B6245" w:rsidP="004B6245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Žiadateľ </w:t>
                  </w:r>
                </w:p>
              </w:tc>
            </w:tr>
          </w:tbl>
          <w:p w:rsidR="004B6245" w:rsidRDefault="004B6245" w:rsidP="00731558"/>
        </w:tc>
        <w:tc>
          <w:tcPr>
            <w:tcW w:w="3021" w:type="dxa"/>
          </w:tcPr>
          <w:p w:rsidR="004B6245" w:rsidRDefault="004B6245" w:rsidP="004B624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5"/>
            </w:tblGrid>
            <w:tr w:rsidR="004B6245">
              <w:trPr>
                <w:trHeight w:val="159"/>
              </w:trPr>
              <w:tc>
                <w:tcPr>
                  <w:tcW w:w="0" w:type="auto"/>
                </w:tcPr>
                <w:p w:rsidR="004B6245" w:rsidRDefault="004B6245" w:rsidP="004B6245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Dátum zasadnutia Komisie </w:t>
                  </w:r>
                </w:p>
              </w:tc>
            </w:tr>
          </w:tbl>
          <w:p w:rsidR="004B6245" w:rsidRDefault="004B6245" w:rsidP="00731558"/>
        </w:tc>
        <w:tc>
          <w:tcPr>
            <w:tcW w:w="3021" w:type="dxa"/>
          </w:tcPr>
          <w:p w:rsidR="004B6245" w:rsidRDefault="004B6245" w:rsidP="004B6245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6"/>
            </w:tblGrid>
            <w:tr w:rsidR="004B6245" w:rsidTr="00B96478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4B6245" w:rsidRDefault="004B6245" w:rsidP="004B6245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Dôvod neschválenia </w:t>
                  </w:r>
                </w:p>
              </w:tc>
            </w:tr>
          </w:tbl>
          <w:p w:rsidR="004B6245" w:rsidRDefault="004B6245" w:rsidP="00731558"/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1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4B6245" w:rsidRDefault="00517994" w:rsidP="00731558">
            <w:r>
              <w:t>Kvalita vypracovania žiadosti a projektového zámeru, relevantnosť požadovanej podpory</w:t>
            </w:r>
          </w:p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3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t>Kvalita vypracovania žiadosti a projektového zámeru</w:t>
            </w:r>
            <w:r w:rsidR="00517994">
              <w:t xml:space="preserve"> </w:t>
            </w:r>
          </w:p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5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t>Kvalita vypracovania žiadosti a projektového zámeru, relevantnosť požadovanej podpory</w:t>
            </w:r>
          </w:p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6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B96478" w:rsidRDefault="00B96478" w:rsidP="00B964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Nízka </w:t>
            </w:r>
            <w:proofErr w:type="spellStart"/>
            <w:r>
              <w:rPr>
                <w:sz w:val="23"/>
                <w:szCs w:val="23"/>
              </w:rPr>
              <w:t>inovatívnosť</w:t>
            </w:r>
            <w:proofErr w:type="spellEnd"/>
            <w:r>
              <w:rPr>
                <w:sz w:val="23"/>
                <w:szCs w:val="23"/>
              </w:rPr>
              <w:t xml:space="preserve"> riešenia </w:t>
            </w:r>
          </w:p>
          <w:p w:rsidR="004B6245" w:rsidRDefault="004B6245" w:rsidP="00731558"/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7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B96478" w:rsidRDefault="00517994" w:rsidP="00B96478">
            <w:pPr>
              <w:pStyle w:val="Default"/>
              <w:rPr>
                <w:sz w:val="23"/>
                <w:szCs w:val="23"/>
              </w:rPr>
            </w:pPr>
            <w:r w:rsidRPr="00517994">
              <w:rPr>
                <w:sz w:val="23"/>
                <w:szCs w:val="23"/>
              </w:rPr>
              <w:t>Nízky trhový potenciál</w:t>
            </w:r>
            <w:r>
              <w:rPr>
                <w:sz w:val="23"/>
                <w:szCs w:val="23"/>
              </w:rPr>
              <w:t xml:space="preserve">, </w:t>
            </w:r>
            <w:r w:rsidR="00B96478">
              <w:rPr>
                <w:sz w:val="23"/>
                <w:szCs w:val="23"/>
              </w:rPr>
              <w:t xml:space="preserve">Nízka </w:t>
            </w:r>
            <w:proofErr w:type="spellStart"/>
            <w:r w:rsidR="00B96478">
              <w:rPr>
                <w:sz w:val="23"/>
                <w:szCs w:val="23"/>
              </w:rPr>
              <w:t>inovatívnosť</w:t>
            </w:r>
            <w:proofErr w:type="spellEnd"/>
            <w:r w:rsidR="00B96478">
              <w:rPr>
                <w:sz w:val="23"/>
                <w:szCs w:val="23"/>
              </w:rPr>
              <w:t xml:space="preserve"> riešenia </w:t>
            </w:r>
          </w:p>
          <w:p w:rsidR="004B6245" w:rsidRDefault="004B6245" w:rsidP="00731558"/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8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B96478" w:rsidRDefault="00B96478" w:rsidP="00B964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Nízka </w:t>
            </w:r>
            <w:proofErr w:type="spellStart"/>
            <w:r>
              <w:rPr>
                <w:sz w:val="23"/>
                <w:szCs w:val="23"/>
              </w:rPr>
              <w:t>inovatívnosť</w:t>
            </w:r>
            <w:proofErr w:type="spellEnd"/>
            <w:r>
              <w:rPr>
                <w:sz w:val="23"/>
                <w:szCs w:val="23"/>
              </w:rPr>
              <w:t xml:space="preserve"> riešenia </w:t>
            </w:r>
          </w:p>
          <w:p w:rsidR="004B6245" w:rsidRDefault="004B6245" w:rsidP="00731558"/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11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4B6245" w:rsidRDefault="00517994" w:rsidP="00731558">
            <w:r>
              <w:t>Relevantnosť požadovanej podpory</w:t>
            </w:r>
          </w:p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 xml:space="preserve">Žiadosť č. </w:t>
            </w:r>
            <w:bookmarkStart w:id="0" w:name="_GoBack"/>
            <w:bookmarkEnd w:id="0"/>
            <w:r>
              <w:t>16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4B6245" w:rsidRDefault="00517994" w:rsidP="00731558">
            <w:r>
              <w:t>Relevantnosť požadovanej podpory</w:t>
            </w:r>
          </w:p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18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517994" w:rsidRDefault="00517994" w:rsidP="005179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Nízky trhový potenciál,</w:t>
            </w:r>
          </w:p>
          <w:p w:rsidR="00517994" w:rsidRDefault="00517994" w:rsidP="005179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Nízka </w:t>
            </w:r>
            <w:proofErr w:type="spellStart"/>
            <w:r>
              <w:rPr>
                <w:sz w:val="23"/>
                <w:szCs w:val="23"/>
              </w:rPr>
              <w:t>inovatívnosť</w:t>
            </w:r>
            <w:proofErr w:type="spellEnd"/>
            <w:r>
              <w:rPr>
                <w:sz w:val="23"/>
                <w:szCs w:val="23"/>
              </w:rPr>
              <w:t xml:space="preserve"> riešenia </w:t>
            </w:r>
          </w:p>
          <w:p w:rsidR="004B6245" w:rsidRDefault="004B6245" w:rsidP="00731558"/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19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517994" w:rsidRDefault="00517994" w:rsidP="005179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Nízka </w:t>
            </w:r>
            <w:proofErr w:type="spellStart"/>
            <w:r>
              <w:rPr>
                <w:sz w:val="23"/>
                <w:szCs w:val="23"/>
              </w:rPr>
              <w:t>inovatívnosť</w:t>
            </w:r>
            <w:proofErr w:type="spellEnd"/>
            <w:r>
              <w:rPr>
                <w:sz w:val="23"/>
                <w:szCs w:val="23"/>
              </w:rPr>
              <w:t xml:space="preserve"> riešenia </w:t>
            </w:r>
          </w:p>
          <w:p w:rsidR="004B6245" w:rsidRDefault="004B6245" w:rsidP="00731558"/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20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517994" w:rsidRDefault="00517994" w:rsidP="005179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Nízky trhový potenciál</w:t>
            </w:r>
          </w:p>
          <w:p w:rsidR="004B6245" w:rsidRDefault="004B6245" w:rsidP="00517994">
            <w:pPr>
              <w:pStyle w:val="Default"/>
            </w:pPr>
          </w:p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21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4B6245" w:rsidRDefault="00517994" w:rsidP="00731558">
            <w:r>
              <w:t>Relevantnosť požadovanej podpory</w:t>
            </w:r>
          </w:p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24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517994" w:rsidRDefault="00517994" w:rsidP="005179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Nízky trhový potenciál,</w:t>
            </w:r>
          </w:p>
          <w:p w:rsidR="004B6245" w:rsidRDefault="00517994" w:rsidP="00517994">
            <w:r>
              <w:rPr>
                <w:sz w:val="23"/>
                <w:szCs w:val="23"/>
              </w:rPr>
              <w:t xml:space="preserve">Nízka </w:t>
            </w:r>
            <w:proofErr w:type="spellStart"/>
            <w:r>
              <w:rPr>
                <w:sz w:val="23"/>
                <w:szCs w:val="23"/>
              </w:rPr>
              <w:t>inovatívnosť</w:t>
            </w:r>
            <w:proofErr w:type="spellEnd"/>
            <w:r>
              <w:rPr>
                <w:sz w:val="23"/>
                <w:szCs w:val="23"/>
              </w:rPr>
              <w:t xml:space="preserve"> riešenia</w:t>
            </w:r>
          </w:p>
        </w:tc>
      </w:tr>
      <w:tr w:rsidR="004B6245" w:rsidTr="009355A6">
        <w:tc>
          <w:tcPr>
            <w:tcW w:w="3020" w:type="dxa"/>
            <w:vAlign w:val="center"/>
          </w:tcPr>
          <w:p w:rsidR="004B6245" w:rsidRDefault="004B6245" w:rsidP="00731558">
            <w:r>
              <w:t>Žiadosť č. 25</w:t>
            </w:r>
          </w:p>
        </w:tc>
        <w:tc>
          <w:tcPr>
            <w:tcW w:w="3021" w:type="dxa"/>
            <w:vAlign w:val="center"/>
          </w:tcPr>
          <w:p w:rsidR="004B6245" w:rsidRDefault="00B96478" w:rsidP="00731558">
            <w:r>
              <w:rPr>
                <w:bCs/>
                <w:iCs/>
                <w:sz w:val="23"/>
                <w:szCs w:val="23"/>
              </w:rPr>
              <w:t>10. 10. 2019 a 11. 10. 2019</w:t>
            </w:r>
          </w:p>
        </w:tc>
        <w:tc>
          <w:tcPr>
            <w:tcW w:w="3021" w:type="dxa"/>
            <w:vAlign w:val="center"/>
          </w:tcPr>
          <w:p w:rsidR="004B6245" w:rsidRDefault="00517994" w:rsidP="00731558">
            <w:r>
              <w:rPr>
                <w:sz w:val="23"/>
                <w:szCs w:val="23"/>
              </w:rPr>
              <w:t xml:space="preserve">Nízka </w:t>
            </w:r>
            <w:proofErr w:type="spellStart"/>
            <w:r>
              <w:rPr>
                <w:sz w:val="23"/>
                <w:szCs w:val="23"/>
              </w:rPr>
              <w:t>inovatívnosť</w:t>
            </w:r>
            <w:proofErr w:type="spellEnd"/>
            <w:r>
              <w:rPr>
                <w:sz w:val="23"/>
                <w:szCs w:val="23"/>
              </w:rPr>
              <w:t xml:space="preserve"> riešenia</w:t>
            </w:r>
          </w:p>
        </w:tc>
      </w:tr>
    </w:tbl>
    <w:p w:rsidR="004B6245" w:rsidRPr="004B6245" w:rsidRDefault="004B6245" w:rsidP="00731558"/>
    <w:sectPr w:rsidR="004B6245" w:rsidRPr="004B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58"/>
    <w:rsid w:val="00067AC4"/>
    <w:rsid w:val="000B161D"/>
    <w:rsid w:val="000D5CC3"/>
    <w:rsid w:val="001837AE"/>
    <w:rsid w:val="004B6245"/>
    <w:rsid w:val="00517994"/>
    <w:rsid w:val="00731558"/>
    <w:rsid w:val="0086185E"/>
    <w:rsid w:val="00933456"/>
    <w:rsid w:val="009355A6"/>
    <w:rsid w:val="00B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D7045-3C13-4237-8479-18BCBCF4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15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73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3</cp:revision>
  <dcterms:created xsi:type="dcterms:W3CDTF">2019-10-24T05:47:00Z</dcterms:created>
  <dcterms:modified xsi:type="dcterms:W3CDTF">2019-10-24T06:32:00Z</dcterms:modified>
</cp:coreProperties>
</file>